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DA4" w:rsidRPr="00E42755" w:rsidRDefault="00A73DA4" w:rsidP="00A73DA4">
      <w:pPr>
        <w:widowControl w:val="0"/>
        <w:spacing w:before="240" w:after="240"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SEGUNDA </w:t>
      </w:r>
      <w:r w:rsidRPr="0007653D">
        <w:rPr>
          <w:rFonts w:ascii="Palatino Linotype" w:hAnsi="Palatino Linotype" w:cs="Arial"/>
          <w:b/>
        </w:rPr>
        <w:t xml:space="preserve">SESIÓN ORDINARIA DE </w:t>
      </w:r>
      <w:r>
        <w:rPr>
          <w:rFonts w:ascii="Palatino Linotype" w:hAnsi="Palatino Linotype" w:cs="Arial"/>
          <w:b/>
        </w:rPr>
        <w:t>CATORCE DE NOVIEMBRE DE DOS MIL DIECIOCHO</w:t>
      </w:r>
      <w:r w:rsidRPr="0007653D">
        <w:rPr>
          <w:rFonts w:ascii="Palatino Linotype" w:hAnsi="Palatino Linotype" w:cs="Arial"/>
          <w:b/>
        </w:rPr>
        <w:t>, EN EL RECURSO DE REVISIÓN 0</w:t>
      </w:r>
      <w:r>
        <w:rPr>
          <w:rFonts w:ascii="Palatino Linotype" w:hAnsi="Palatino Linotype" w:cs="Arial"/>
          <w:b/>
        </w:rPr>
        <w:t>3711</w:t>
      </w:r>
      <w:r w:rsidRPr="0007653D">
        <w:rPr>
          <w:rFonts w:ascii="Palatino Linotype" w:hAnsi="Palatino Linotype" w:cs="Arial"/>
          <w:b/>
        </w:rPr>
        <w:t>/INFOEM/IP/RR/201</w:t>
      </w:r>
      <w:r>
        <w:rPr>
          <w:rFonts w:ascii="Palatino Linotype" w:hAnsi="Palatino Linotype" w:cs="Arial"/>
          <w:b/>
        </w:rPr>
        <w:t>8</w:t>
      </w:r>
      <w:r w:rsidRPr="00E42755">
        <w:rPr>
          <w:rFonts w:ascii="Palatino Linotype" w:eastAsia="Calibri" w:hAnsi="Palatino Linotype" w:cs="Arial"/>
          <w:b/>
          <w:color w:val="000000"/>
        </w:rPr>
        <w:t>.</w:t>
      </w:r>
    </w:p>
    <w:p w:rsidR="00A73DA4" w:rsidRDefault="00A73DA4" w:rsidP="00A73DA4">
      <w:pPr>
        <w:spacing w:before="240" w:after="240"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07653D">
        <w:rPr>
          <w:rFonts w:ascii="Palatino Linotype" w:hAnsi="Palatino Linotype" w:cs="Arial"/>
          <w:b/>
        </w:rPr>
        <w:t>0</w:t>
      </w:r>
      <w:r>
        <w:rPr>
          <w:rFonts w:ascii="Palatino Linotype" w:hAnsi="Palatino Linotype" w:cs="Arial"/>
          <w:b/>
        </w:rPr>
        <w:t>3711</w:t>
      </w:r>
      <w:r w:rsidRPr="0007653D">
        <w:rPr>
          <w:rFonts w:ascii="Palatino Linotype" w:hAnsi="Palatino Linotype" w:cs="Arial"/>
          <w:b/>
        </w:rPr>
        <w:t>/INFOEM/IP/RR/201</w:t>
      </w:r>
      <w:r>
        <w:rPr>
          <w:rFonts w:ascii="Palatino Linotype" w:hAnsi="Palatino Linotype" w:cs="Arial"/>
          <w:b/>
        </w:rPr>
        <w:t>8</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Pr>
          <w:rFonts w:ascii="Palatino Linotype" w:hAnsi="Palatino Linotype" w:cs="Arial"/>
          <w:b/>
        </w:rPr>
        <w:t>LUIS GUSTAVO PARRA NORIEGA</w:t>
      </w:r>
      <w:r w:rsidRPr="0007653D">
        <w:rPr>
          <w:rFonts w:ascii="Palatino Linotype" w:hAnsi="Palatino Linotype" w:cs="Arial"/>
        </w:rPr>
        <w:t xml:space="preserve">, </w:t>
      </w:r>
      <w:r>
        <w:rPr>
          <w:rFonts w:ascii="Palatino Linotype" w:hAnsi="Palatino Linotype" w:cs="Arial"/>
        </w:rPr>
        <w:t>que es del tenor siguiente.</w:t>
      </w:r>
    </w:p>
    <w:p w:rsidR="00A73DA4" w:rsidRDefault="00A73DA4" w:rsidP="00A73DA4">
      <w:pPr>
        <w:spacing w:before="240" w:after="240"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las razones que dieron origen al recurso de </w:t>
      </w:r>
      <w:r w:rsidRPr="00D93A88">
        <w:rPr>
          <w:rFonts w:ascii="Palatino Linotype" w:hAnsi="Palatino Linotype"/>
        </w:rPr>
        <w:t>revis</w:t>
      </w:r>
      <w:r>
        <w:rPr>
          <w:rFonts w:ascii="Palatino Linotype" w:hAnsi="Palatino Linotype"/>
        </w:rPr>
        <w:t>ión; empero, estimo</w:t>
      </w:r>
      <w:r w:rsidRPr="00D93A88">
        <w:rPr>
          <w:rFonts w:ascii="Palatino Linotype" w:hAnsi="Palatino Linotype"/>
        </w:rPr>
        <w:t xml:space="preserve"> necesario precisar algunas consideraciones de </w:t>
      </w:r>
      <w:r w:rsidRPr="008D4FBA">
        <w:rPr>
          <w:rFonts w:ascii="Palatino Linotype" w:hAnsi="Palatino Linotype" w:cs="Arial"/>
        </w:rPr>
        <w:t>hecho</w:t>
      </w:r>
      <w:r w:rsidRPr="00D93A88">
        <w:rPr>
          <w:rFonts w:ascii="Palatino Linotype" w:hAnsi="Palatino Linotype"/>
        </w:rPr>
        <w:t xml:space="preserve"> y de derecho</w:t>
      </w:r>
      <w:r>
        <w:rPr>
          <w:rFonts w:ascii="Palatino Linotype" w:hAnsi="Palatino Linotype"/>
        </w:rPr>
        <w:t>, respecto al estudio de la resolución de mérito</w:t>
      </w:r>
      <w:r w:rsidRPr="00D93A88">
        <w:rPr>
          <w:rFonts w:ascii="Palatino Linotype" w:hAnsi="Palatino Linotype"/>
        </w:rPr>
        <w:t>.</w:t>
      </w:r>
    </w:p>
    <w:p w:rsidR="00A73DA4" w:rsidRPr="00A73DA4" w:rsidRDefault="00A73DA4" w:rsidP="00A73DA4">
      <w:pPr>
        <w:spacing w:before="240" w:after="240" w:line="360" w:lineRule="auto"/>
        <w:jc w:val="both"/>
        <w:rPr>
          <w:rFonts w:ascii="Palatino Linotype" w:hAnsi="Palatino Linotype"/>
        </w:rPr>
      </w:pPr>
      <w:r>
        <w:rPr>
          <w:rFonts w:ascii="Palatino Linotype" w:hAnsi="Palatino Linotype"/>
        </w:rPr>
        <w:t>En este sentido, t</w:t>
      </w:r>
      <w:r w:rsidRPr="00D93A88">
        <w:rPr>
          <w:rFonts w:ascii="Palatino Linotype" w:hAnsi="Palatino Linotype"/>
        </w:rPr>
        <w:t xml:space="preserve">al y como quedó debidamente asentado en la resolución materia del presente voto, </w:t>
      </w:r>
      <w:r>
        <w:rPr>
          <w:rFonts w:ascii="Palatino Linotype" w:hAnsi="Palatino Linotype" w:cs="Arial"/>
        </w:rPr>
        <w:t>el</w:t>
      </w:r>
      <w:r w:rsidRPr="00D93A88">
        <w:rPr>
          <w:rFonts w:ascii="Palatino Linotype" w:hAnsi="Palatino Linotype"/>
        </w:rPr>
        <w:t xml:space="preserve"> particular </w:t>
      </w:r>
      <w:r>
        <w:rPr>
          <w:rFonts w:ascii="Palatino Linotype" w:hAnsi="Palatino Linotype"/>
        </w:rPr>
        <w:t xml:space="preserve">requirió del </w:t>
      </w:r>
      <w:r w:rsidRPr="00A73DA4">
        <w:rPr>
          <w:rFonts w:ascii="Palatino Linotype" w:hAnsi="Palatino Linotype"/>
          <w:b/>
        </w:rPr>
        <w:t>Ayuntamiento de Tultitlán</w:t>
      </w:r>
      <w:r>
        <w:rPr>
          <w:rFonts w:ascii="Palatino Linotype" w:hAnsi="Palatino Linotype"/>
          <w:b/>
        </w:rPr>
        <w:t xml:space="preserve">, </w:t>
      </w:r>
      <w:r>
        <w:rPr>
          <w:rFonts w:ascii="Palatino Linotype" w:hAnsi="Palatino Linotype"/>
        </w:rPr>
        <w:t xml:space="preserve">en lo sucesivo </w:t>
      </w:r>
      <w:r>
        <w:rPr>
          <w:rFonts w:ascii="Palatino Linotype" w:hAnsi="Palatino Linotype"/>
          <w:b/>
        </w:rPr>
        <w:t xml:space="preserve">EL </w:t>
      </w:r>
      <w:r w:rsidRPr="008C0700">
        <w:rPr>
          <w:rFonts w:ascii="Palatino Linotype" w:hAnsi="Palatino Linotype"/>
          <w:b/>
        </w:rPr>
        <w:t>SUJETO OBLIGADO</w:t>
      </w:r>
      <w:r>
        <w:rPr>
          <w:rFonts w:ascii="Palatino Linotype" w:hAnsi="Palatino Linotype"/>
          <w:b/>
        </w:rPr>
        <w:t xml:space="preserve">, </w:t>
      </w:r>
      <w:r>
        <w:rPr>
          <w:rFonts w:ascii="Palatino Linotype" w:hAnsi="Palatino Linotype"/>
        </w:rPr>
        <w:t xml:space="preserve">la nómina de las dos quincenas del mes de marzo de 2018, donde se apreciara </w:t>
      </w:r>
      <w:r w:rsidR="00086096">
        <w:rPr>
          <w:rFonts w:ascii="Palatino Linotype" w:hAnsi="Palatino Linotype"/>
        </w:rPr>
        <w:t xml:space="preserve">todas las compensaciones y gratificaciones que reciben los </w:t>
      </w:r>
      <w:r w:rsidR="00086096">
        <w:rPr>
          <w:rFonts w:ascii="Palatino Linotype" w:hAnsi="Palatino Linotype"/>
        </w:rPr>
        <w:lastRenderedPageBreak/>
        <w:t xml:space="preserve">servidores públicos, así como del personal </w:t>
      </w:r>
      <w:r>
        <w:rPr>
          <w:rFonts w:ascii="Palatino Linotype" w:hAnsi="Palatino Linotype"/>
        </w:rPr>
        <w:t>de lista de raya, sindicalizados, de confianza y de la policía.</w:t>
      </w:r>
    </w:p>
    <w:p w:rsidR="00A73DA4" w:rsidRDefault="00A73DA4" w:rsidP="00A73DA4">
      <w:pPr>
        <w:spacing w:before="240" w:after="240" w:line="360" w:lineRule="auto"/>
        <w:jc w:val="both"/>
        <w:rPr>
          <w:rFonts w:ascii="Palatino Linotype" w:hAnsi="Palatino Linotype" w:cs="Arial"/>
        </w:rPr>
      </w:pPr>
      <w:r>
        <w:rPr>
          <w:rFonts w:ascii="Palatino Linotype" w:hAnsi="Palatino Linotype" w:cs="Arial"/>
        </w:rPr>
        <w:t xml:space="preserve">De las constancias que obran en el expediente electrónico del SAIMEX, se advierte que </w:t>
      </w:r>
      <w:r w:rsidRPr="00B57FE6">
        <w:rPr>
          <w:rFonts w:ascii="Palatino Linotype" w:hAnsi="Palatino Linotype" w:cs="Arial"/>
          <w:b/>
        </w:rPr>
        <w:t>EL SUJETO OBLIGADO</w:t>
      </w:r>
      <w:r>
        <w:rPr>
          <w:rFonts w:ascii="Palatino Linotype" w:hAnsi="Palatino Linotype" w:cs="Arial"/>
        </w:rPr>
        <w:t xml:space="preserve"> fue omiso en dar respuesta a la solicitud de información que le fuera planteada.</w:t>
      </w:r>
    </w:p>
    <w:p w:rsidR="00A73DA4" w:rsidRPr="00A73DA4" w:rsidRDefault="00A73DA4" w:rsidP="00A73DA4">
      <w:pPr>
        <w:spacing w:before="240" w:after="240" w:line="360" w:lineRule="auto"/>
        <w:jc w:val="both"/>
        <w:rPr>
          <w:rFonts w:ascii="Palatino Linotype" w:hAnsi="Palatino Linotype" w:cs="Arial"/>
        </w:rPr>
      </w:pPr>
      <w:r>
        <w:rPr>
          <w:rFonts w:ascii="Palatino Linotype" w:hAnsi="Palatino Linotype" w:cs="Arial"/>
        </w:rPr>
        <w:t>Inconforme con la falta de respuesta</w:t>
      </w:r>
      <w:r w:rsidR="00086096">
        <w:rPr>
          <w:rFonts w:ascii="Palatino Linotype" w:hAnsi="Palatino Linotype" w:cs="Arial"/>
        </w:rPr>
        <w:t>,</w:t>
      </w:r>
      <w:r>
        <w:rPr>
          <w:rFonts w:ascii="Palatino Linotype" w:hAnsi="Palatino Linotype" w:cs="Arial"/>
        </w:rPr>
        <w:t xml:space="preserve"> </w:t>
      </w:r>
      <w:r>
        <w:rPr>
          <w:rFonts w:ascii="Palatino Linotype" w:hAnsi="Palatino Linotype" w:cs="Arial"/>
          <w:b/>
        </w:rPr>
        <w:t xml:space="preserve">EL RECURRENTE </w:t>
      </w:r>
      <w:r>
        <w:rPr>
          <w:rFonts w:ascii="Palatino Linotype" w:hAnsi="Palatino Linotype" w:cs="Arial"/>
        </w:rPr>
        <w:t>interpuso el recurso de revisión de mérito.</w:t>
      </w:r>
    </w:p>
    <w:p w:rsidR="00A73DA4" w:rsidRPr="00086096" w:rsidRDefault="00A73DA4" w:rsidP="00A73DA4">
      <w:pPr>
        <w:spacing w:line="360" w:lineRule="auto"/>
        <w:jc w:val="both"/>
        <w:rPr>
          <w:rFonts w:ascii="Palatino Linotype" w:hAnsi="Palatino Linotype" w:cs="Arial"/>
        </w:rPr>
      </w:pPr>
      <w:r w:rsidRPr="00086096">
        <w:rPr>
          <w:rFonts w:ascii="Palatino Linotype" w:hAnsi="Palatino Linotype" w:cs="Arial"/>
        </w:rPr>
        <w:t>Así, del estudio d</w:t>
      </w:r>
      <w:r w:rsidRPr="00086096">
        <w:rPr>
          <w:rFonts w:ascii="Palatino Linotype" w:hAnsi="Palatino Linotype"/>
        </w:rPr>
        <w:t>el expediente electrónico del SAIMEX</w:t>
      </w:r>
      <w:r w:rsidRPr="00086096">
        <w:rPr>
          <w:rFonts w:ascii="Palatino Linotype" w:hAnsi="Palatino Linotype" w:cs="Arial"/>
        </w:rPr>
        <w:t xml:space="preserve">, la Ponencia Resolutora determinó </w:t>
      </w:r>
      <w:r w:rsidRPr="00086096">
        <w:rPr>
          <w:rFonts w:ascii="Palatino Linotype" w:hAnsi="Palatino Linotype" w:cs="Arial"/>
          <w:b/>
        </w:rPr>
        <w:t xml:space="preserve">ORDENAR </w:t>
      </w:r>
      <w:r w:rsidRPr="00086096">
        <w:rPr>
          <w:rFonts w:ascii="Palatino Linotype" w:hAnsi="Palatino Linotype" w:cs="Arial"/>
        </w:rPr>
        <w:t xml:space="preserve">al </w:t>
      </w:r>
      <w:r w:rsidRPr="00086096">
        <w:rPr>
          <w:rFonts w:ascii="Palatino Linotype" w:hAnsi="Palatino Linotype" w:cs="Arial"/>
          <w:b/>
        </w:rPr>
        <w:t xml:space="preserve">SUJETO OBLIGADO </w:t>
      </w:r>
      <w:r w:rsidRPr="00086096">
        <w:rPr>
          <w:rFonts w:ascii="Palatino Linotype" w:hAnsi="Palatino Linotype" w:cs="Arial"/>
        </w:rPr>
        <w:t xml:space="preserve">que </w:t>
      </w:r>
      <w:r w:rsidRPr="00086096">
        <w:rPr>
          <w:rFonts w:ascii="Palatino Linotype" w:eastAsia="Calibri" w:hAnsi="Palatino Linotype" w:cs="Tahoma"/>
          <w:lang w:eastAsia="es-MX"/>
        </w:rPr>
        <w:t xml:space="preserve">previa búsqueda exhaustiva y razonable en todas las áreas competentes, </w:t>
      </w:r>
      <w:r w:rsidRPr="00086096">
        <w:rPr>
          <w:rFonts w:ascii="Palatino Linotype" w:eastAsia="Calibri" w:hAnsi="Palatino Linotype" w:cs="Tahoma"/>
          <w:bCs/>
          <w:lang w:eastAsia="es-MX"/>
        </w:rPr>
        <w:t>otorgara  en versión pública vía SAIMEX, la nómina correspondiente a las dos quincenas de marzo de 2018, así como de cualquier documento en donde conste el sobre sueldo de todos los trabajadores del Ayuntamiento y, en su caso, de la lista de raya, junto con e</w:t>
      </w:r>
      <w:r w:rsidRPr="00086096">
        <w:rPr>
          <w:rFonts w:ascii="Palatino Linotype" w:hAnsi="Palatino Linotype" w:cs="Arial"/>
        </w:rPr>
        <w:t>l Acuerdo del Comité de Transparencia correspondiente, en términos del artículo 49, fracción VIII y 132 fracción II, de la Ley de Transparencia y Acceso a la Información Pública del Estado de México y Municipios, en el que funde y motive las razones sobre los datos reservados y confidenciales que se supriman o eliminen.</w:t>
      </w:r>
    </w:p>
    <w:p w:rsidR="00D6325A" w:rsidRPr="00D6325A" w:rsidRDefault="00A73DA4" w:rsidP="00A73DA4">
      <w:pPr>
        <w:spacing w:before="240" w:after="240" w:line="360" w:lineRule="auto"/>
        <w:jc w:val="both"/>
        <w:rPr>
          <w:rFonts w:ascii="Palatino Linotype" w:hAnsi="Palatino Linotype" w:cs="Arial"/>
          <w:lang w:val="es-MX"/>
        </w:rPr>
      </w:pPr>
      <w:r>
        <w:rPr>
          <w:rFonts w:ascii="Palatino Linotype" w:hAnsi="Palatino Linotype" w:cs="Arial"/>
          <w:lang w:val="es-MX"/>
        </w:rPr>
        <w:t>En ese sentido, la suscrita</w:t>
      </w:r>
      <w:r w:rsidRPr="001D3F57">
        <w:rPr>
          <w:rFonts w:ascii="Palatino Linotype" w:hAnsi="Palatino Linotype" w:cs="Arial"/>
          <w:lang w:val="es-MX"/>
        </w:rPr>
        <w:t xml:space="preserve"> reitera, que si bien coincide en términos generales </w:t>
      </w:r>
      <w:r>
        <w:rPr>
          <w:rFonts w:ascii="Palatino Linotype" w:hAnsi="Palatino Linotype" w:cs="Arial"/>
          <w:lang w:val="es-MX"/>
        </w:rPr>
        <w:t xml:space="preserve">con las razones que dieron origen al recurso de revisión </w:t>
      </w:r>
      <w:r w:rsidRPr="001D3F57">
        <w:rPr>
          <w:rFonts w:ascii="Palatino Linotype" w:hAnsi="Palatino Linotype" w:cs="Arial"/>
          <w:lang w:val="es-MX"/>
        </w:rPr>
        <w:t xml:space="preserve">en comento, </w:t>
      </w:r>
      <w:r>
        <w:rPr>
          <w:rFonts w:ascii="Palatino Linotype" w:hAnsi="Palatino Linotype" w:cs="Arial"/>
          <w:lang w:val="es-MX"/>
        </w:rPr>
        <w:t xml:space="preserve">considero que la Ponencia Resolutora </w:t>
      </w:r>
      <w:r w:rsidR="00D6325A">
        <w:rPr>
          <w:rFonts w:ascii="Palatino Linotype" w:hAnsi="Palatino Linotype" w:cs="Arial"/>
          <w:lang w:val="es-MX"/>
        </w:rPr>
        <w:t xml:space="preserve">debió haber realizado un estudio más exhaustivo en cuanto a la fuente obligacional que constriñe al </w:t>
      </w:r>
      <w:r w:rsidR="00D6325A">
        <w:rPr>
          <w:rFonts w:ascii="Palatino Linotype" w:hAnsi="Palatino Linotype" w:cs="Arial"/>
          <w:b/>
          <w:lang w:val="es-MX"/>
        </w:rPr>
        <w:t xml:space="preserve">SUJETO OBLIGADO </w:t>
      </w:r>
      <w:r w:rsidR="00D6325A">
        <w:rPr>
          <w:rFonts w:ascii="Palatino Linotype" w:hAnsi="Palatino Linotype" w:cs="Arial"/>
          <w:lang w:val="es-MX"/>
        </w:rPr>
        <w:t xml:space="preserve">para contar con la información </w:t>
      </w:r>
      <w:r w:rsidR="00D6325A">
        <w:rPr>
          <w:rFonts w:ascii="Palatino Linotype" w:hAnsi="Palatino Linotype" w:cs="Arial"/>
          <w:lang w:val="es-MX"/>
        </w:rPr>
        <w:lastRenderedPageBreak/>
        <w:t>solicitada, pues del estudio de la resolución sólo se advierte que se nombr</w:t>
      </w:r>
      <w:r w:rsidR="00086096">
        <w:rPr>
          <w:rFonts w:ascii="Palatino Linotype" w:hAnsi="Palatino Linotype" w:cs="Arial"/>
          <w:lang w:val="es-MX"/>
        </w:rPr>
        <w:t>a</w:t>
      </w:r>
      <w:r w:rsidR="00D6325A">
        <w:rPr>
          <w:rFonts w:ascii="Palatino Linotype" w:hAnsi="Palatino Linotype" w:cs="Arial"/>
          <w:lang w:val="es-MX"/>
        </w:rPr>
        <w:t xml:space="preserve"> de manera general los documentos con los cuales se puede satisfacer el derecho de acceso a la información del solicitante; sin embargo, derivado de la negativa del </w:t>
      </w:r>
      <w:r w:rsidR="00272D96">
        <w:rPr>
          <w:rFonts w:ascii="Palatino Linotype" w:hAnsi="Palatino Linotype" w:cs="Arial"/>
          <w:b/>
          <w:lang w:val="es-MX"/>
        </w:rPr>
        <w:t xml:space="preserve">SUJETO OBLIGADO </w:t>
      </w:r>
      <w:r w:rsidR="00D6325A">
        <w:rPr>
          <w:rFonts w:ascii="Palatino Linotype" w:hAnsi="Palatino Linotype" w:cs="Arial"/>
          <w:lang w:val="es-MX"/>
        </w:rPr>
        <w:t xml:space="preserve">para dar respuesta lo procedente era que se realizara un análisis a cada uno de ellos y así dejar en claro porque con </w:t>
      </w:r>
      <w:r w:rsidR="00D6325A" w:rsidRPr="00D6325A">
        <w:rPr>
          <w:rFonts w:ascii="Palatino Linotype" w:hAnsi="Palatino Linotype" w:cs="Tahoma"/>
        </w:rPr>
        <w:t>los recibos</w:t>
      </w:r>
      <w:r w:rsidR="00D6325A">
        <w:rPr>
          <w:rFonts w:ascii="Palatino Linotype" w:hAnsi="Palatino Linotype" w:cs="Tahoma"/>
        </w:rPr>
        <w:t xml:space="preserve"> de nómina o </w:t>
      </w:r>
      <w:r w:rsidR="00D6325A" w:rsidRPr="00D6325A">
        <w:rPr>
          <w:rFonts w:ascii="Palatino Linotype" w:hAnsi="Palatino Linotype" w:cs="Tahoma"/>
        </w:rPr>
        <w:t>la nómina general</w:t>
      </w:r>
      <w:r w:rsidR="00D6325A">
        <w:rPr>
          <w:rFonts w:ascii="Palatino Linotype" w:hAnsi="Palatino Linotype" w:cs="Tahoma"/>
        </w:rPr>
        <w:t xml:space="preserve"> que remite mensualmente al Órgano Superior de Fiscalización del Estado de México, se </w:t>
      </w:r>
      <w:r w:rsidR="002D16E2">
        <w:rPr>
          <w:rFonts w:ascii="Palatino Linotype" w:hAnsi="Palatino Linotype" w:cs="Tahoma"/>
        </w:rPr>
        <w:t>colmaba la solicitud de información que dio origen al recurso de mérito.</w:t>
      </w:r>
    </w:p>
    <w:p w:rsidR="00A73DA4" w:rsidRDefault="00086096" w:rsidP="00A73DA4">
      <w:pPr>
        <w:spacing w:before="240" w:after="240" w:line="360" w:lineRule="auto"/>
        <w:jc w:val="both"/>
        <w:rPr>
          <w:rFonts w:ascii="Palatino Linotype" w:hAnsi="Palatino Linotype" w:cs="Arial"/>
          <w:lang w:eastAsia="es-MX"/>
        </w:rPr>
      </w:pPr>
      <w:r>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88265</wp:posOffset>
                </wp:positionH>
                <wp:positionV relativeFrom="paragraph">
                  <wp:posOffset>3047365</wp:posOffset>
                </wp:positionV>
                <wp:extent cx="5772150" cy="1320800"/>
                <wp:effectExtent l="0" t="0" r="19050" b="31750"/>
                <wp:wrapNone/>
                <wp:docPr id="1" name="Conector recto 1"/>
                <wp:cNvGraphicFramePr/>
                <a:graphic xmlns:a="http://schemas.openxmlformats.org/drawingml/2006/main">
                  <a:graphicData uri="http://schemas.microsoft.com/office/word/2010/wordprocessingShape">
                    <wps:wsp>
                      <wps:cNvCnPr/>
                      <wps:spPr>
                        <a:xfrm>
                          <a:off x="0" y="0"/>
                          <a:ext cx="5772150" cy="132080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8F0BFB" id="Conector recto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95pt,239.95pt" to="461.45pt,3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" strokecolor="#5b9bd5 [3204]" strokeweight="1.5pt">
                <v:stroke joinstyle="miter"/>
              </v:line>
            </w:pict>
          </mc:Fallback>
        </mc:AlternateContent>
      </w:r>
      <w:r w:rsidR="002D16E2">
        <w:rPr>
          <w:rFonts w:ascii="Palatino Linotype" w:hAnsi="Palatino Linotype"/>
        </w:rPr>
        <w:t xml:space="preserve">Es decir, debió de manera general establecer que </w:t>
      </w:r>
      <w:r w:rsidR="00A73DA4">
        <w:rPr>
          <w:rFonts w:ascii="Palatino Linotype" w:hAnsi="Palatino Linotype"/>
        </w:rPr>
        <w:t xml:space="preserve">la remuneración de los servidores públicos es diversa a la nómina, </w:t>
      </w:r>
      <w:r w:rsidR="00A73DA4">
        <w:rPr>
          <w:rFonts w:ascii="Palatino Linotype" w:hAnsi="Palatino Linotype" w:cs="Arial"/>
        </w:rPr>
        <w:t xml:space="preserve">lo cual no puede colmar lo solicitado por </w:t>
      </w:r>
      <w:r w:rsidR="00A73DA4" w:rsidRPr="00C21DCA">
        <w:rPr>
          <w:rFonts w:ascii="Palatino Linotype" w:hAnsi="Palatino Linotype" w:cs="Arial"/>
          <w:b/>
        </w:rPr>
        <w:t>EL RECURRENTE</w:t>
      </w:r>
      <w:r w:rsidR="00A73DA4">
        <w:rPr>
          <w:rFonts w:ascii="Palatino Linotype" w:hAnsi="Palatino Linotype" w:cs="Arial"/>
        </w:rPr>
        <w:t xml:space="preserve">, cuando existe un documento específico, el cual debe ser generado por </w:t>
      </w:r>
      <w:r w:rsidR="00A73DA4" w:rsidRPr="00C21DCA">
        <w:rPr>
          <w:rFonts w:ascii="Palatino Linotype" w:hAnsi="Palatino Linotype" w:cs="Arial"/>
          <w:b/>
        </w:rPr>
        <w:t>EL SUJETO OBLIGADO</w:t>
      </w:r>
      <w:r w:rsidR="00A73DA4">
        <w:rPr>
          <w:rFonts w:ascii="Palatino Linotype" w:hAnsi="Palatino Linotype" w:cs="Arial"/>
        </w:rPr>
        <w:t xml:space="preserve">, en apego a lo establecido en los </w:t>
      </w:r>
      <w:r w:rsidR="00A73DA4" w:rsidRPr="00CA78F9">
        <w:rPr>
          <w:rFonts w:ascii="Palatino Linotype" w:hAnsi="Palatino Linotype"/>
        </w:rPr>
        <w:t>Lineamientos para la Integración del Informe Mensual para</w:t>
      </w:r>
      <w:r w:rsidR="00A73DA4">
        <w:rPr>
          <w:rFonts w:ascii="Palatino Linotype" w:hAnsi="Palatino Linotype"/>
        </w:rPr>
        <w:t xml:space="preserve"> el año</w:t>
      </w:r>
      <w:r w:rsidR="00A73DA4" w:rsidRPr="00CA78F9">
        <w:rPr>
          <w:rFonts w:ascii="Palatino Linotype" w:hAnsi="Palatino Linotype"/>
        </w:rPr>
        <w:t xml:space="preserve"> 201</w:t>
      </w:r>
      <w:r w:rsidR="002D16E2">
        <w:rPr>
          <w:rFonts w:ascii="Palatino Linotype" w:hAnsi="Palatino Linotype"/>
        </w:rPr>
        <w:t>8</w:t>
      </w:r>
      <w:r w:rsidR="00A73DA4">
        <w:rPr>
          <w:rFonts w:ascii="Palatino Linotype" w:hAnsi="Palatino Linotype"/>
        </w:rPr>
        <w:t xml:space="preserve">, la cual es remitida mediante el </w:t>
      </w:r>
      <w:r w:rsidR="00A73DA4" w:rsidRPr="00CA78F9">
        <w:rPr>
          <w:rFonts w:ascii="Palatino Linotype" w:hAnsi="Palatino Linotype" w:cs="Arial"/>
        </w:rPr>
        <w:t xml:space="preserve">Disco 4 del informe mensual </w:t>
      </w:r>
      <w:r w:rsidR="00A73DA4">
        <w:rPr>
          <w:rFonts w:ascii="Palatino Linotype" w:hAnsi="Palatino Linotype" w:cs="Arial"/>
        </w:rPr>
        <w:t>por parte</w:t>
      </w:r>
      <w:r w:rsidR="00A73DA4" w:rsidRPr="00CA78F9">
        <w:rPr>
          <w:rFonts w:ascii="Palatino Linotype" w:hAnsi="Palatino Linotype" w:cs="Arial"/>
        </w:rPr>
        <w:t xml:space="preserve"> </w:t>
      </w:r>
      <w:r w:rsidR="00A73DA4">
        <w:rPr>
          <w:rFonts w:ascii="Palatino Linotype" w:hAnsi="Palatino Linotype" w:cs="Arial"/>
        </w:rPr>
        <w:t>d</w:t>
      </w:r>
      <w:r w:rsidR="00A73DA4" w:rsidRPr="00CA78F9">
        <w:rPr>
          <w:rFonts w:ascii="Palatino Linotype" w:hAnsi="Palatino Linotype" w:cs="Arial"/>
        </w:rPr>
        <w:t xml:space="preserve">el Tesorero Municipal al Órgano Superior de Fiscalización del Estado de México, en términos del </w:t>
      </w:r>
      <w:r w:rsidR="00A73DA4" w:rsidRPr="00CA78F9">
        <w:rPr>
          <w:rFonts w:ascii="Palatino Linotype" w:hAnsi="Palatino Linotype" w:cs="Arial"/>
          <w:lang w:eastAsia="es-MX"/>
        </w:rPr>
        <w:t>artículo 2</w:t>
      </w:r>
      <w:r>
        <w:rPr>
          <w:rFonts w:ascii="Palatino Linotype" w:hAnsi="Palatino Linotype" w:cs="Arial"/>
          <w:lang w:eastAsia="es-MX"/>
        </w:rPr>
        <w:t>,</w:t>
      </w:r>
      <w:r w:rsidR="00A73DA4" w:rsidRPr="00CA78F9">
        <w:rPr>
          <w:rFonts w:ascii="Palatino Linotype" w:hAnsi="Palatino Linotype" w:cs="Arial"/>
          <w:lang w:eastAsia="es-MX"/>
        </w:rPr>
        <w:t xml:space="preserve"> fracción XI de la Ley de Fiscalización Superior del Estado de México</w:t>
      </w:r>
      <w:r w:rsidR="00A73DA4" w:rsidRPr="00CA78F9">
        <w:rPr>
          <w:rStyle w:val="Refdenotaalpie"/>
          <w:rFonts w:ascii="Palatino Linotype" w:hAnsi="Palatino Linotype" w:cs="Arial"/>
        </w:rPr>
        <w:footnoteReference w:id="1"/>
      </w:r>
      <w:r w:rsidR="00A73DA4">
        <w:rPr>
          <w:rFonts w:ascii="Palatino Linotype" w:hAnsi="Palatino Linotype" w:cs="Arial"/>
          <w:lang w:eastAsia="es-MX"/>
        </w:rPr>
        <w:t>, documento que contiene información con un mayor grado de detalle, misma que puede ser de utilidad para el particular, como se muestra a continuación:</w:t>
      </w:r>
    </w:p>
    <w:p w:rsidR="00086096" w:rsidRDefault="00086096" w:rsidP="00A73DA4">
      <w:pPr>
        <w:spacing w:before="240" w:after="240" w:line="360" w:lineRule="auto"/>
        <w:jc w:val="both"/>
        <w:rPr>
          <w:rFonts w:ascii="Palatino Linotype" w:hAnsi="Palatino Linotype" w:cs="Arial"/>
          <w:lang w:eastAsia="es-MX"/>
        </w:rPr>
      </w:pPr>
    </w:p>
    <w:p w:rsidR="00086096" w:rsidRDefault="00086096" w:rsidP="00A73DA4">
      <w:pPr>
        <w:spacing w:after="120" w:line="360" w:lineRule="auto"/>
        <w:jc w:val="center"/>
        <w:rPr>
          <w:rFonts w:ascii="Palatino Linotype" w:hAnsi="Palatino Linotype"/>
          <w:b/>
          <w:i/>
          <w:sz w:val="22"/>
        </w:rPr>
      </w:pPr>
    </w:p>
    <w:p w:rsidR="00A73DA4" w:rsidRPr="00CA78F9" w:rsidRDefault="00A73DA4" w:rsidP="00A73DA4">
      <w:pPr>
        <w:spacing w:after="120" w:line="360" w:lineRule="auto"/>
        <w:jc w:val="center"/>
        <w:rPr>
          <w:rFonts w:ascii="Palatino Linotype" w:hAnsi="Palatino Linotype" w:cs="Arial"/>
        </w:rPr>
      </w:pPr>
      <w:r w:rsidRPr="005133C5">
        <w:rPr>
          <w:rFonts w:ascii="Palatino Linotype" w:hAnsi="Palatino Linotype"/>
          <w:b/>
          <w:i/>
          <w:sz w:val="22"/>
        </w:rPr>
        <w:lastRenderedPageBreak/>
        <w:t>Lineamientos para la Integración del Informe Mensual para 201</w:t>
      </w:r>
      <w:r w:rsidR="002D16E2">
        <w:rPr>
          <w:rFonts w:ascii="Palatino Linotype" w:hAnsi="Palatino Linotype"/>
          <w:b/>
          <w:i/>
          <w:sz w:val="22"/>
        </w:rPr>
        <w:t>8</w:t>
      </w:r>
    </w:p>
    <w:p w:rsidR="00A73DA4" w:rsidRPr="00CA78F9" w:rsidRDefault="00A73DA4" w:rsidP="00A73DA4">
      <w:pPr>
        <w:spacing w:line="360" w:lineRule="auto"/>
        <w:jc w:val="center"/>
        <w:rPr>
          <w:rFonts w:ascii="Palatino Linotype" w:hAnsi="Palatino Linotype" w:cs="Arial"/>
          <w:color w:val="000000"/>
        </w:rPr>
      </w:pPr>
      <w:r w:rsidRPr="00CA78F9">
        <w:rPr>
          <w:noProof/>
          <w:lang w:val="es-MX" w:eastAsia="es-MX"/>
        </w:rPr>
        <mc:AlternateContent>
          <mc:Choice Requires="wps">
            <w:drawing>
              <wp:anchor distT="0" distB="0" distL="114300" distR="114300" simplePos="0" relativeHeight="251659264" behindDoc="0" locked="0" layoutInCell="1" allowOverlap="1" wp14:anchorId="70C9D0CA" wp14:editId="095BD118">
                <wp:simplePos x="0" y="0"/>
                <wp:positionH relativeFrom="margin">
                  <wp:posOffset>202565</wp:posOffset>
                </wp:positionH>
                <wp:positionV relativeFrom="paragraph">
                  <wp:posOffset>1132840</wp:posOffset>
                </wp:positionV>
                <wp:extent cx="1993900" cy="228600"/>
                <wp:effectExtent l="0" t="0" r="25400" b="19050"/>
                <wp:wrapNone/>
                <wp:docPr id="13" name="Rectángulo 13"/>
                <wp:cNvGraphicFramePr/>
                <a:graphic xmlns:a="http://schemas.openxmlformats.org/drawingml/2006/main">
                  <a:graphicData uri="http://schemas.microsoft.com/office/word/2010/wordprocessingShape">
                    <wps:wsp>
                      <wps:cNvSpPr/>
                      <wps:spPr>
                        <a:xfrm>
                          <a:off x="0" y="0"/>
                          <a:ext cx="1993900" cy="22860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141A9" id="Rectángulo 13" o:spid="_x0000_s1026" style="position:absolute;margin-left:15.95pt;margin-top:89.2pt;width:157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" filled="f" strokecolor="red" strokeweight="1.5pt">
                <w10:wrap anchorx="margin"/>
              </v:rect>
            </w:pict>
          </mc:Fallback>
        </mc:AlternateContent>
      </w:r>
      <w:r w:rsidRPr="00CA78F9">
        <w:rPr>
          <w:noProof/>
          <w:lang w:val="es-MX" w:eastAsia="es-MX"/>
        </w:rPr>
        <w:drawing>
          <wp:inline distT="0" distB="0" distL="0" distR="0" wp14:anchorId="22713500" wp14:editId="6C0B0C13">
            <wp:extent cx="5243830" cy="18034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70400" cy="1881319"/>
                    </a:xfrm>
                    <a:prstGeom prst="rect">
                      <a:avLst/>
                    </a:prstGeom>
                  </pic:spPr>
                </pic:pic>
              </a:graphicData>
            </a:graphic>
          </wp:inline>
        </w:drawing>
      </w:r>
    </w:p>
    <w:p w:rsidR="00A73DA4" w:rsidRPr="00154379" w:rsidRDefault="00A73DA4" w:rsidP="00A73DA4">
      <w:pPr>
        <w:spacing w:line="360" w:lineRule="auto"/>
        <w:jc w:val="center"/>
        <w:rPr>
          <w:noProof/>
          <w:lang w:eastAsia="es-MX"/>
        </w:rPr>
      </w:pPr>
    </w:p>
    <w:p w:rsidR="00A73DA4" w:rsidRDefault="00A73DA4" w:rsidP="00A73DA4">
      <w:pPr>
        <w:spacing w:line="360" w:lineRule="auto"/>
        <w:jc w:val="center"/>
        <w:rPr>
          <w:rFonts w:ascii="Palatino Linotype" w:hAnsi="Palatino Linotype" w:cs="Arial"/>
          <w:color w:val="000000"/>
        </w:rPr>
      </w:pPr>
      <w:r w:rsidRPr="00CA78F9">
        <w:rPr>
          <w:noProof/>
          <w:lang w:val="es-MX" w:eastAsia="es-MX"/>
        </w:rPr>
        <mc:AlternateContent>
          <mc:Choice Requires="wps">
            <w:drawing>
              <wp:anchor distT="0" distB="0" distL="114300" distR="114300" simplePos="0" relativeHeight="251662336" behindDoc="0" locked="0" layoutInCell="1" allowOverlap="1" wp14:anchorId="5CF72B14" wp14:editId="113C7689">
                <wp:simplePos x="0" y="0"/>
                <wp:positionH relativeFrom="margin">
                  <wp:posOffset>393065</wp:posOffset>
                </wp:positionH>
                <wp:positionV relativeFrom="paragraph">
                  <wp:posOffset>1385570</wp:posOffset>
                </wp:positionV>
                <wp:extent cx="5537200" cy="685800"/>
                <wp:effectExtent l="19050" t="19050" r="25400" b="19050"/>
                <wp:wrapNone/>
                <wp:docPr id="21" name="Rectángulo 21"/>
                <wp:cNvGraphicFramePr/>
                <a:graphic xmlns:a="http://schemas.openxmlformats.org/drawingml/2006/main">
                  <a:graphicData uri="http://schemas.microsoft.com/office/word/2010/wordprocessingShape">
                    <wps:wsp>
                      <wps:cNvSpPr/>
                      <wps:spPr>
                        <a:xfrm>
                          <a:off x="0" y="0"/>
                          <a:ext cx="5537200" cy="685800"/>
                        </a:xfrm>
                        <a:prstGeom prst="rect">
                          <a:avLst/>
                        </a:prstGeom>
                        <a:noFill/>
                        <a:ln w="28575">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02411" id="Rectángulo 21" o:spid="_x0000_s1026" style="position:absolute;margin-left:30.95pt;margin-top:109.1pt;width:436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" filled="f" strokecolor="red" strokeweight="2.25pt">
                <w10:wrap anchorx="margin"/>
              </v:rect>
            </w:pict>
          </mc:Fallback>
        </mc:AlternateContent>
      </w:r>
      <w:r w:rsidRPr="00CA78F9">
        <w:rPr>
          <w:noProof/>
          <w:lang w:val="es-MX" w:eastAsia="es-MX"/>
        </w:rPr>
        <w:drawing>
          <wp:inline distT="0" distB="0" distL="0" distR="0" wp14:anchorId="579C1832" wp14:editId="1A59195F">
            <wp:extent cx="5899150" cy="2635250"/>
            <wp:effectExtent l="0" t="0" r="635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7937" cy="2737453"/>
                    </a:xfrm>
                    <a:prstGeom prst="rect">
                      <a:avLst/>
                    </a:prstGeom>
                  </pic:spPr>
                </pic:pic>
              </a:graphicData>
            </a:graphic>
          </wp:inline>
        </w:drawing>
      </w:r>
    </w:p>
    <w:p w:rsidR="00A73DA4" w:rsidRDefault="00A73DA4" w:rsidP="00A73DA4">
      <w:pPr>
        <w:spacing w:before="240" w:after="240" w:line="360" w:lineRule="auto"/>
        <w:jc w:val="both"/>
        <w:rPr>
          <w:rFonts w:ascii="Palatino Linotype" w:hAnsi="Palatino Linotype" w:cs="Arial"/>
        </w:rPr>
      </w:pPr>
      <w:r>
        <w:rPr>
          <w:rFonts w:ascii="Palatino Linotype" w:hAnsi="Palatino Linotype" w:cs="Arial"/>
        </w:rPr>
        <w:t xml:space="preserve">Es por ello, que la que suscribe emite </w:t>
      </w:r>
      <w:r w:rsidRPr="003031E1">
        <w:rPr>
          <w:rFonts w:ascii="Palatino Linotype" w:hAnsi="Palatino Linotype" w:cs="Arial"/>
          <w:b/>
        </w:rPr>
        <w:t>VOTO PARTICULAR</w:t>
      </w:r>
      <w:r>
        <w:rPr>
          <w:rFonts w:ascii="Palatino Linotype" w:hAnsi="Palatino Linotype" w:cs="Arial"/>
        </w:rPr>
        <w:t xml:space="preserve">, pues se insiste que la Ponencia Resolutora debió </w:t>
      </w:r>
      <w:r w:rsidR="002D16E2">
        <w:rPr>
          <w:rFonts w:ascii="Palatino Linotype" w:hAnsi="Palatino Linotype" w:cs="Arial"/>
        </w:rPr>
        <w:t>analizar de manera</w:t>
      </w:r>
      <w:r w:rsidR="00086096">
        <w:rPr>
          <w:rFonts w:ascii="Palatino Linotype" w:hAnsi="Palatino Linotype" w:cs="Arial"/>
        </w:rPr>
        <w:t xml:space="preserve"> puntual y</w:t>
      </w:r>
      <w:r w:rsidR="002D16E2">
        <w:rPr>
          <w:rFonts w:ascii="Palatino Linotype" w:hAnsi="Palatino Linotype" w:cs="Arial"/>
        </w:rPr>
        <w:t xml:space="preserve"> específica los documentos con los que se tendría por colmado el derecho de acceso a la información del hoy </w:t>
      </w:r>
      <w:r w:rsidR="002D16E2">
        <w:rPr>
          <w:rFonts w:ascii="Palatino Linotype" w:hAnsi="Palatino Linotype" w:cs="Arial"/>
          <w:b/>
        </w:rPr>
        <w:t xml:space="preserve">RECURRENTE </w:t>
      </w:r>
      <w:r w:rsidR="002D16E2">
        <w:rPr>
          <w:rFonts w:ascii="Palatino Linotype" w:hAnsi="Palatino Linotype" w:cs="Arial"/>
        </w:rPr>
        <w:t xml:space="preserve">y en consecuencia le brindaría certeza jurídica del porque se ordena la entrega de dicha información, pues los particulares no son expertos y no conocen el nombre de los documentos en los que pudiera constar la información que desean </w:t>
      </w:r>
      <w:r w:rsidR="002D16E2">
        <w:rPr>
          <w:rFonts w:ascii="Palatino Linotype" w:hAnsi="Palatino Linotype" w:cs="Arial"/>
        </w:rPr>
        <w:lastRenderedPageBreak/>
        <w:t>conocer o bien obtener; por ello</w:t>
      </w:r>
      <w:r w:rsidR="00086096">
        <w:rPr>
          <w:rFonts w:ascii="Palatino Linotype" w:hAnsi="Palatino Linotype" w:cs="Arial"/>
        </w:rPr>
        <w:t>,</w:t>
      </w:r>
      <w:r w:rsidR="002D16E2">
        <w:rPr>
          <w:rFonts w:ascii="Palatino Linotype" w:hAnsi="Palatino Linotype" w:cs="Arial"/>
        </w:rPr>
        <w:t xml:space="preserve"> no pueden </w:t>
      </w:r>
      <w:r>
        <w:rPr>
          <w:rFonts w:ascii="Palatino Linotype" w:hAnsi="Palatino Linotype" w:cs="Arial"/>
        </w:rPr>
        <w:t>de conformidad con el artículo 9, fracción I de la Ley de Trasparencia y Acceso a la Información Pública de</w:t>
      </w:r>
      <w:r w:rsidR="002D16E2">
        <w:rPr>
          <w:rFonts w:ascii="Palatino Linotype" w:hAnsi="Palatino Linotype" w:cs="Arial"/>
        </w:rPr>
        <w:t>l Estado de México y Municipios, se debió analizar en el estudio la na</w:t>
      </w:r>
      <w:r w:rsidR="002505F5">
        <w:rPr>
          <w:rFonts w:ascii="Palatino Linotype" w:hAnsi="Palatino Linotype" w:cs="Arial"/>
        </w:rPr>
        <w:t xml:space="preserve">turaleza jurídica de los mismos, al tratarse de una negativa por parte del </w:t>
      </w:r>
      <w:r w:rsidR="002505F5">
        <w:rPr>
          <w:rFonts w:ascii="Palatino Linotype" w:hAnsi="Palatino Linotype" w:cs="Arial"/>
          <w:b/>
        </w:rPr>
        <w:t>SUJETO OBLIGADO.</w:t>
      </w:r>
      <w:r w:rsidR="002505F5">
        <w:rPr>
          <w:rFonts w:ascii="Palatino Linotype" w:hAnsi="Palatino Linotype" w:cs="Arial"/>
        </w:rPr>
        <w:t xml:space="preserve"> </w:t>
      </w:r>
    </w:p>
    <w:tbl>
      <w:tblPr>
        <w:tblW w:w="4393" w:type="dxa"/>
        <w:jc w:val="center"/>
        <w:tblLayout w:type="fixed"/>
        <w:tblLook w:val="04A0" w:firstRow="1" w:lastRow="0" w:firstColumn="1" w:lastColumn="0" w:noHBand="0" w:noVBand="1"/>
      </w:tblPr>
      <w:tblGrid>
        <w:gridCol w:w="4393"/>
      </w:tblGrid>
      <w:tr w:rsidR="00A73DA4" w:rsidRPr="001950C9" w:rsidTr="00B92307">
        <w:trPr>
          <w:jc w:val="center"/>
        </w:trPr>
        <w:tc>
          <w:tcPr>
            <w:tcW w:w="4393" w:type="dxa"/>
          </w:tcPr>
          <w:p w:rsidR="002505F5" w:rsidRDefault="002505F5" w:rsidP="00B92307">
            <w:pPr>
              <w:spacing w:line="360" w:lineRule="auto"/>
              <w:jc w:val="center"/>
              <w:rPr>
                <w:rFonts w:ascii="Palatino Linotype" w:hAnsi="Palatino Linotype"/>
                <w:b/>
              </w:rPr>
            </w:pPr>
          </w:p>
          <w:p w:rsidR="002505F5" w:rsidRDefault="002505F5" w:rsidP="00B92307">
            <w:pPr>
              <w:spacing w:line="360" w:lineRule="auto"/>
              <w:jc w:val="center"/>
              <w:rPr>
                <w:rFonts w:ascii="Palatino Linotype" w:hAnsi="Palatino Linotype"/>
                <w:b/>
              </w:rPr>
            </w:pPr>
          </w:p>
          <w:p w:rsidR="00A73DA4" w:rsidRDefault="00A73DA4"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272D96" w:rsidRDefault="00272D96" w:rsidP="00B92307">
            <w:pPr>
              <w:spacing w:line="360" w:lineRule="auto"/>
              <w:jc w:val="center"/>
              <w:rPr>
                <w:rFonts w:ascii="Palatino Linotype" w:hAnsi="Palatino Linotype"/>
                <w:b/>
              </w:rPr>
            </w:pPr>
          </w:p>
          <w:p w:rsidR="00A73DA4" w:rsidRPr="001950C9" w:rsidRDefault="00A73DA4" w:rsidP="00B92307">
            <w:pPr>
              <w:jc w:val="center"/>
              <w:rPr>
                <w:rFonts w:ascii="Palatino Linotype" w:hAnsi="Palatino Linotype"/>
                <w:b/>
              </w:rPr>
            </w:pPr>
            <w:r w:rsidRPr="001950C9">
              <w:rPr>
                <w:rFonts w:ascii="Palatino Linotype" w:hAnsi="Palatino Linotype"/>
                <w:b/>
              </w:rPr>
              <w:t>EVA ABAID YAPUR</w:t>
            </w:r>
          </w:p>
          <w:p w:rsidR="00A73DA4" w:rsidRDefault="00A73DA4" w:rsidP="00272D96">
            <w:pPr>
              <w:jc w:val="center"/>
              <w:rPr>
                <w:rFonts w:ascii="Palatino Linotype" w:hAnsi="Palatino Linotype"/>
                <w:b/>
              </w:rPr>
            </w:pPr>
            <w:r w:rsidRPr="001950C9">
              <w:rPr>
                <w:rFonts w:ascii="Palatino Linotype" w:hAnsi="Palatino Linotype"/>
                <w:b/>
              </w:rPr>
              <w:t>COMISIONADA</w:t>
            </w:r>
          </w:p>
          <w:p w:rsidR="00510D75" w:rsidRPr="001950C9" w:rsidRDefault="00510D75" w:rsidP="00272D96">
            <w:pPr>
              <w:jc w:val="center"/>
              <w:rPr>
                <w:rFonts w:ascii="Palatino Linotype" w:hAnsi="Palatino Linotype"/>
                <w:b/>
              </w:rPr>
            </w:pPr>
            <w:r>
              <w:rPr>
                <w:rFonts w:ascii="Palatino Linotype" w:hAnsi="Palatino Linotype"/>
                <w:b/>
              </w:rPr>
              <w:t>(RÚBRICA)</w:t>
            </w:r>
            <w:bookmarkStart w:id="0" w:name="_GoBack"/>
            <w:bookmarkEnd w:id="0"/>
          </w:p>
        </w:tc>
      </w:tr>
    </w:tbl>
    <w:p w:rsidR="00A73DA4" w:rsidRDefault="00A73DA4" w:rsidP="00A73DA4">
      <w:pPr>
        <w:spacing w:line="360" w:lineRule="auto"/>
        <w:jc w:val="both"/>
        <w:rPr>
          <w:rFonts w:ascii="Palatino Linotype" w:eastAsia="Calibri" w:hAnsi="Palatino Linotype" w:cs="Arial"/>
          <w:color w:val="000000" w:themeColor="text1"/>
          <w:sz w:val="20"/>
          <w:szCs w:val="20"/>
        </w:rPr>
      </w:pPr>
    </w:p>
    <w:p w:rsidR="00A73DA4" w:rsidRDefault="00A73DA4" w:rsidP="00A73DA4">
      <w:pPr>
        <w:spacing w:line="360" w:lineRule="auto"/>
        <w:jc w:val="both"/>
        <w:rPr>
          <w:rFonts w:ascii="Palatino Linotype" w:eastAsia="Calibri" w:hAnsi="Palatino Linotype" w:cs="Arial"/>
          <w:color w:val="000000" w:themeColor="text1"/>
          <w:sz w:val="20"/>
          <w:szCs w:val="20"/>
        </w:rPr>
      </w:pPr>
    </w:p>
    <w:p w:rsidR="002505F5" w:rsidRDefault="002505F5" w:rsidP="00A73DA4">
      <w:pPr>
        <w:spacing w:line="360" w:lineRule="auto"/>
        <w:jc w:val="both"/>
        <w:rPr>
          <w:rFonts w:ascii="Palatino Linotype" w:eastAsia="Calibri" w:hAnsi="Palatino Linotype" w:cs="Arial"/>
          <w:color w:val="000000" w:themeColor="text1"/>
          <w:sz w:val="20"/>
          <w:szCs w:val="20"/>
        </w:rPr>
      </w:pPr>
    </w:p>
    <w:p w:rsidR="00272D96" w:rsidRDefault="00272D96" w:rsidP="00A73DA4">
      <w:pPr>
        <w:spacing w:line="360" w:lineRule="auto"/>
        <w:jc w:val="both"/>
        <w:rPr>
          <w:rFonts w:ascii="Palatino Linotype" w:eastAsia="Calibri" w:hAnsi="Palatino Linotype" w:cs="Arial"/>
          <w:color w:val="000000" w:themeColor="text1"/>
          <w:sz w:val="20"/>
          <w:szCs w:val="20"/>
        </w:rPr>
      </w:pPr>
    </w:p>
    <w:p w:rsidR="00A73DA4" w:rsidRDefault="00A73DA4" w:rsidP="00A73DA4">
      <w:pPr>
        <w:spacing w:line="360" w:lineRule="auto"/>
        <w:jc w:val="both"/>
        <w:rPr>
          <w:rFonts w:ascii="Palatino Linotype" w:eastAsia="Calibri" w:hAnsi="Palatino Linotype" w:cs="Arial"/>
          <w:color w:val="000000" w:themeColor="text1"/>
          <w:sz w:val="20"/>
          <w:szCs w:val="20"/>
        </w:rPr>
      </w:pPr>
    </w:p>
    <w:p w:rsidR="00A73DA4" w:rsidRDefault="00A73DA4" w:rsidP="00A73DA4">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 emitido en el recurso de revisión 0</w:t>
      </w:r>
      <w:r w:rsidR="002D16E2">
        <w:rPr>
          <w:rFonts w:ascii="Palatino Linotype" w:eastAsia="Calibri" w:hAnsi="Palatino Linotype" w:cs="Arial"/>
          <w:color w:val="000000" w:themeColor="text1"/>
          <w:sz w:val="20"/>
          <w:szCs w:val="20"/>
        </w:rPr>
        <w:t>3711</w:t>
      </w:r>
      <w:r w:rsidRPr="001950C9">
        <w:rPr>
          <w:rFonts w:ascii="Palatino Linotype" w:eastAsia="Calibri" w:hAnsi="Palatino Linotype" w:cs="Arial"/>
          <w:color w:val="000000" w:themeColor="text1"/>
          <w:sz w:val="20"/>
          <w:szCs w:val="20"/>
        </w:rPr>
        <w:t>/INFOEM/IP/RR/201</w:t>
      </w:r>
      <w:r w:rsidR="002D16E2">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Pr>
          <w:rFonts w:ascii="Palatino Linotype" w:eastAsia="Calibri" w:hAnsi="Palatino Linotype" w:cs="Arial"/>
          <w:color w:val="000000" w:themeColor="text1"/>
          <w:sz w:val="20"/>
          <w:szCs w:val="20"/>
        </w:rPr>
        <w:t xml:space="preserve"> </w:t>
      </w:r>
      <w:r w:rsidR="002D16E2">
        <w:rPr>
          <w:rFonts w:ascii="Palatino Linotype" w:eastAsia="Calibri" w:hAnsi="Palatino Linotype" w:cs="Arial"/>
          <w:color w:val="000000" w:themeColor="text1"/>
          <w:sz w:val="20"/>
          <w:szCs w:val="20"/>
        </w:rPr>
        <w:t xml:space="preserve">catorce de </w:t>
      </w:r>
      <w:r>
        <w:rPr>
          <w:rFonts w:ascii="Palatino Linotype" w:eastAsia="Calibri" w:hAnsi="Palatino Linotype" w:cs="Arial"/>
          <w:color w:val="000000" w:themeColor="text1"/>
          <w:sz w:val="20"/>
          <w:szCs w:val="20"/>
        </w:rPr>
        <w:t>noviembre de dos mil dieci</w:t>
      </w:r>
      <w:r w:rsidR="002D16E2">
        <w:rPr>
          <w:rFonts w:ascii="Palatino Linotype" w:eastAsia="Calibri" w:hAnsi="Palatino Linotype" w:cs="Arial"/>
          <w:color w:val="000000" w:themeColor="text1"/>
          <w:sz w:val="20"/>
          <w:szCs w:val="20"/>
        </w:rPr>
        <w:t>ocho</w:t>
      </w:r>
      <w:r w:rsidRPr="001950C9">
        <w:rPr>
          <w:rFonts w:ascii="Palatino Linotype" w:eastAsia="Calibri" w:hAnsi="Palatino Linotype" w:cs="Arial"/>
          <w:color w:val="000000" w:themeColor="text1"/>
          <w:sz w:val="20"/>
          <w:szCs w:val="20"/>
        </w:rPr>
        <w:t>.</w:t>
      </w:r>
    </w:p>
    <w:p w:rsidR="00272D96" w:rsidRPr="00272D96" w:rsidRDefault="00272D96" w:rsidP="00A73DA4">
      <w:pPr>
        <w:jc w:val="both"/>
        <w:rPr>
          <w:rFonts w:ascii="Palatino Linotype" w:eastAsia="Calibri" w:hAnsi="Palatino Linotype" w:cs="Arial"/>
          <w:color w:val="000000" w:themeColor="text1"/>
          <w:sz w:val="8"/>
          <w:szCs w:val="20"/>
        </w:rPr>
      </w:pPr>
    </w:p>
    <w:p w:rsidR="00A73DA4" w:rsidRPr="00EB7480" w:rsidRDefault="00A73DA4" w:rsidP="00A73DA4">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Pr>
          <w:rFonts w:ascii="Palatino Linotype" w:eastAsia="Calibri" w:hAnsi="Palatino Linotype" w:cs="Arial"/>
          <w:color w:val="000000" w:themeColor="text1"/>
          <w:sz w:val="20"/>
          <w:szCs w:val="20"/>
        </w:rPr>
        <w:t>AMV</w:t>
      </w:r>
    </w:p>
    <w:sectPr w:rsidR="00A73DA4" w:rsidRPr="00EB7480" w:rsidSect="00773B49">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5E7" w:rsidRDefault="009C35E7" w:rsidP="00A73DA4">
      <w:r>
        <w:separator/>
      </w:r>
    </w:p>
  </w:endnote>
  <w:endnote w:type="continuationSeparator" w:id="0">
    <w:p w:rsidR="009C35E7" w:rsidRDefault="009C35E7" w:rsidP="00A73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10D75" w:rsidP="003056D9">
    <w:pPr>
      <w:pStyle w:val="Piedepgina"/>
      <w:tabs>
        <w:tab w:val="clear" w:pos="4252"/>
        <w:tab w:val="left" w:pos="4228"/>
      </w:tabs>
      <w:rPr>
        <w:rFonts w:ascii="Palatino Linotype" w:hAnsi="Palatino Linotype" w:cs="Arial"/>
        <w:b/>
        <w:bCs/>
        <w:sz w:val="20"/>
        <w:szCs w:val="20"/>
      </w:rPr>
    </w:pPr>
  </w:p>
  <w:p w:rsidR="00086096" w:rsidRDefault="00086096" w:rsidP="003056D9">
    <w:pPr>
      <w:pStyle w:val="Piedepgina"/>
      <w:tabs>
        <w:tab w:val="clear" w:pos="4252"/>
        <w:tab w:val="left" w:pos="4228"/>
      </w:tabs>
      <w:rPr>
        <w:rFonts w:ascii="Palatino Linotype" w:hAnsi="Palatino Linotype" w:cs="Arial"/>
        <w:b/>
        <w:bCs/>
        <w:sz w:val="20"/>
        <w:szCs w:val="20"/>
      </w:rPr>
    </w:pPr>
  </w:p>
  <w:p w:rsidR="003056D9" w:rsidRDefault="00510D75" w:rsidP="003056D9">
    <w:pPr>
      <w:pStyle w:val="Piedepgina"/>
      <w:tabs>
        <w:tab w:val="clear" w:pos="4252"/>
        <w:tab w:val="left" w:pos="4228"/>
      </w:tabs>
      <w:rPr>
        <w:rFonts w:ascii="Palatino Linotype" w:hAnsi="Palatino Linotype" w:cs="Arial"/>
        <w:b/>
        <w:bCs/>
        <w:sz w:val="20"/>
        <w:szCs w:val="20"/>
      </w:rPr>
    </w:pPr>
  </w:p>
  <w:p w:rsidR="003056D9" w:rsidRDefault="00510D75" w:rsidP="003056D9">
    <w:pPr>
      <w:pStyle w:val="Piedepgina"/>
      <w:tabs>
        <w:tab w:val="clear" w:pos="4252"/>
        <w:tab w:val="left" w:pos="4228"/>
      </w:tabs>
      <w:rPr>
        <w:rFonts w:ascii="Palatino Linotype" w:hAnsi="Palatino Linotype" w:cs="Arial"/>
        <w:b/>
        <w:bCs/>
        <w:sz w:val="20"/>
        <w:szCs w:val="20"/>
      </w:rPr>
    </w:pPr>
  </w:p>
  <w:p w:rsidR="00455CB3" w:rsidRDefault="00510D75" w:rsidP="000E2B1A">
    <w:pPr>
      <w:pStyle w:val="Piedepgina"/>
      <w:rPr>
        <w:rFonts w:ascii="Palatino Linotype" w:hAnsi="Palatino Linotype" w:cs="Arial"/>
        <w:b/>
        <w:bCs/>
        <w:sz w:val="20"/>
        <w:szCs w:val="20"/>
      </w:rPr>
    </w:pPr>
  </w:p>
  <w:p w:rsidR="003056D9" w:rsidRPr="00F12350" w:rsidRDefault="009F10FD"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10D7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10D75">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510D75"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5E7" w:rsidRDefault="009C35E7" w:rsidP="00A73DA4">
      <w:r>
        <w:separator/>
      </w:r>
    </w:p>
  </w:footnote>
  <w:footnote w:type="continuationSeparator" w:id="0">
    <w:p w:rsidR="009C35E7" w:rsidRDefault="009C35E7" w:rsidP="00A73DA4">
      <w:r>
        <w:continuationSeparator/>
      </w:r>
    </w:p>
  </w:footnote>
  <w:footnote w:id="1">
    <w:p w:rsidR="00A73DA4" w:rsidRPr="000774B4" w:rsidRDefault="00A73DA4" w:rsidP="00A73DA4">
      <w:pPr>
        <w:pStyle w:val="Textonotapie"/>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0774B4">
        <w:rPr>
          <w:rFonts w:ascii="Palatino Linotype" w:hAnsi="Palatino Linotype"/>
          <w:b/>
          <w:sz w:val="16"/>
          <w:szCs w:val="16"/>
        </w:rPr>
        <w:t>Para los efectos de la presente Ley, se entenderá por</w:t>
      </w:r>
      <w:r w:rsidRPr="000774B4">
        <w:rPr>
          <w:rFonts w:ascii="Palatino Linotype" w:hAnsi="Palatino Linotype"/>
          <w:sz w:val="16"/>
          <w:szCs w:val="16"/>
        </w:rPr>
        <w:t>:</w:t>
      </w:r>
    </w:p>
    <w:p w:rsidR="00A73DA4" w:rsidRPr="008C3786" w:rsidRDefault="00A73DA4" w:rsidP="00A73DA4">
      <w:pPr>
        <w:pStyle w:val="Textonotapie"/>
        <w:jc w:val="both"/>
        <w:rPr>
          <w:rFonts w:ascii="Palatino Linotype" w:hAnsi="Palatino Linotype"/>
          <w:sz w:val="16"/>
          <w:szCs w:val="16"/>
        </w:rPr>
      </w:pPr>
      <w:r>
        <w:rPr>
          <w:rFonts w:ascii="Palatino Linotype" w:hAnsi="Palatino Linotype"/>
          <w:sz w:val="16"/>
          <w:szCs w:val="16"/>
        </w:rPr>
        <w:t>…</w:t>
      </w:r>
    </w:p>
    <w:p w:rsidR="00A73DA4" w:rsidRPr="000774B4" w:rsidRDefault="00A73DA4" w:rsidP="00A73DA4">
      <w:pPr>
        <w:pStyle w:val="Textonotapie"/>
        <w:jc w:val="both"/>
        <w:rPr>
          <w:rFonts w:ascii="Palatino Linotype" w:hAnsi="Palatino Linotype"/>
          <w:sz w:val="16"/>
          <w:szCs w:val="16"/>
        </w:rPr>
      </w:pPr>
      <w:r w:rsidRPr="000774B4">
        <w:rPr>
          <w:rFonts w:ascii="Palatino Linotype" w:hAnsi="Palatino Linotype"/>
          <w:b/>
          <w:sz w:val="16"/>
          <w:szCs w:val="16"/>
        </w:rPr>
        <w:t>XI. Informe Mensual</w:t>
      </w:r>
      <w:r w:rsidRPr="000774B4">
        <w:rPr>
          <w:rFonts w:ascii="Palatino Linotype" w:hAnsi="Palatino Linotype"/>
          <w:sz w:val="16"/>
          <w:szCs w:val="16"/>
        </w:rPr>
        <w:t xml:space="preserve">: </w:t>
      </w:r>
      <w:r w:rsidRPr="000774B4">
        <w:rPr>
          <w:rFonts w:ascii="Palatino Linotype" w:hAnsi="Palatino Linotype"/>
          <w:b/>
          <w:sz w:val="16"/>
          <w:szCs w:val="16"/>
        </w:rPr>
        <w:t>Al documento que mensualmente envían para su análisis al Órgano Superior de Fiscalización de la Legislatura, las Tesorerías Municipales</w:t>
      </w:r>
      <w:r w:rsidRPr="000774B4">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10D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9F10FD"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1E1DF4EB" wp14:editId="7E49AE17">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086096" w:rsidRDefault="00086096" w:rsidP="00773B49">
    <w:pPr>
      <w:pStyle w:val="Encabezado"/>
      <w:tabs>
        <w:tab w:val="clear" w:pos="4252"/>
        <w:tab w:val="clear" w:pos="8504"/>
        <w:tab w:val="left" w:pos="2326"/>
      </w:tabs>
      <w:ind w:right="-93"/>
      <w:jc w:val="right"/>
      <w:rPr>
        <w:rFonts w:ascii="Palatino Linotype" w:hAnsi="Palatino Linotype" w:cs="Arial"/>
        <w:sz w:val="20"/>
        <w:szCs w:val="20"/>
      </w:rPr>
    </w:pPr>
  </w:p>
  <w:p w:rsidR="0034309A" w:rsidRDefault="009F10FD" w:rsidP="00773B49">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634485" w:rsidRDefault="009F10FD" w:rsidP="00773B49">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A73DA4">
      <w:rPr>
        <w:rFonts w:ascii="Palatino Linotype" w:hAnsi="Palatino Linotype" w:cs="Arial"/>
        <w:sz w:val="20"/>
        <w:szCs w:val="20"/>
      </w:rPr>
      <w:t>3711</w:t>
    </w:r>
    <w:r>
      <w:rPr>
        <w:rFonts w:ascii="Palatino Linotype" w:hAnsi="Palatino Linotype" w:cs="Arial"/>
        <w:sz w:val="20"/>
        <w:szCs w:val="20"/>
      </w:rPr>
      <w:t>/INFOEM/IP</w:t>
    </w:r>
    <w:r w:rsidRPr="00706042">
      <w:rPr>
        <w:rFonts w:ascii="Palatino Linotype" w:hAnsi="Palatino Linotype" w:cs="Arial"/>
        <w:sz w:val="20"/>
        <w:szCs w:val="20"/>
      </w:rPr>
      <w:t>/RR/201</w:t>
    </w:r>
    <w:r w:rsidR="00A73DA4">
      <w:rPr>
        <w:rFonts w:ascii="Palatino Linotype" w:hAnsi="Palatino Linotype" w:cs="Arial"/>
        <w:sz w:val="20"/>
        <w:szCs w:val="20"/>
      </w:rPr>
      <w:t>8</w:t>
    </w:r>
  </w:p>
  <w:p w:rsidR="00086096" w:rsidRDefault="00510D75" w:rsidP="00773B49">
    <w:pPr>
      <w:pStyle w:val="Encabezado"/>
      <w:tabs>
        <w:tab w:val="clear" w:pos="4252"/>
        <w:tab w:val="clear" w:pos="8504"/>
        <w:tab w:val="left" w:pos="2326"/>
      </w:tabs>
      <w:ind w:right="-93"/>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8.1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10D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DA4"/>
    <w:rsid w:val="00086096"/>
    <w:rsid w:val="002505F5"/>
    <w:rsid w:val="00272D96"/>
    <w:rsid w:val="002D16E2"/>
    <w:rsid w:val="00510D75"/>
    <w:rsid w:val="00731E99"/>
    <w:rsid w:val="009C35E7"/>
    <w:rsid w:val="009F10FD"/>
    <w:rsid w:val="00A73DA4"/>
    <w:rsid w:val="00C23B43"/>
    <w:rsid w:val="00C9714C"/>
    <w:rsid w:val="00D6325A"/>
    <w:rsid w:val="00F218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DFC8D95D-26FA-4148-9F63-DD8DEEF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DA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A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73DA4"/>
    <w:rPr>
      <w:rFonts w:eastAsiaTheme="minorEastAsia"/>
      <w:sz w:val="24"/>
      <w:szCs w:val="24"/>
      <w:lang w:val="es-ES_tradnl" w:eastAsia="es-ES"/>
    </w:rPr>
  </w:style>
  <w:style w:type="paragraph" w:styleId="Piedepgina">
    <w:name w:val="footer"/>
    <w:basedOn w:val="Normal"/>
    <w:link w:val="PiedepginaCar"/>
    <w:uiPriority w:val="99"/>
    <w:unhideWhenUsed/>
    <w:rsid w:val="00A73DA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73DA4"/>
    <w:rPr>
      <w:rFonts w:eastAsiaTheme="minorEastAsia"/>
      <w:sz w:val="24"/>
      <w:szCs w:val="24"/>
      <w:lang w:val="es-ES_tradnl" w:eastAsia="es-ES"/>
    </w:rPr>
  </w:style>
  <w:style w:type="paragraph" w:styleId="Prrafodelista">
    <w:name w:val="List Paragraph"/>
    <w:basedOn w:val="Normal"/>
    <w:link w:val="PrrafodelistaCar"/>
    <w:uiPriority w:val="34"/>
    <w:qFormat/>
    <w:rsid w:val="00A73DA4"/>
    <w:pPr>
      <w:ind w:left="720"/>
      <w:contextualSpacing/>
    </w:pPr>
  </w:style>
  <w:style w:type="character" w:customStyle="1" w:styleId="PrrafodelistaCar">
    <w:name w:val="Párrafo de lista Car"/>
    <w:link w:val="Prrafodelista"/>
    <w:uiPriority w:val="34"/>
    <w:qFormat/>
    <w:locked/>
    <w:rsid w:val="00A73DA4"/>
    <w:rPr>
      <w:rFonts w:ascii="Times New Roman" w:eastAsia="Times New Roman"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73DA4"/>
    <w:rPr>
      <w:sz w:val="20"/>
      <w:szCs w:val="20"/>
      <w:lang w:val="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3DA4"/>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A73DA4"/>
    <w:rPr>
      <w:vertAlign w:val="superscript"/>
    </w:rPr>
  </w:style>
  <w:style w:type="character" w:styleId="Hipervnculo">
    <w:name w:val="Hyperlink"/>
    <w:basedOn w:val="Fuentedeprrafopredeter"/>
    <w:uiPriority w:val="99"/>
    <w:unhideWhenUsed/>
    <w:rsid w:val="00A73DA4"/>
    <w:rPr>
      <w:color w:val="0563C1" w:themeColor="hyperlink"/>
      <w:u w:val="single"/>
    </w:rPr>
  </w:style>
  <w:style w:type="paragraph" w:styleId="Textodeglobo">
    <w:name w:val="Balloon Text"/>
    <w:basedOn w:val="Normal"/>
    <w:link w:val="TextodegloboCar"/>
    <w:uiPriority w:val="99"/>
    <w:semiHidden/>
    <w:unhideWhenUsed/>
    <w:rsid w:val="002D16E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16E2"/>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827</Words>
  <Characters>4553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2018-11-20T21:08:00Z</cp:lastPrinted>
  <dcterms:created xsi:type="dcterms:W3CDTF">2018-11-20T19:36:00Z</dcterms:created>
  <dcterms:modified xsi:type="dcterms:W3CDTF">2019-01-11T03:14:00Z</dcterms:modified>
</cp:coreProperties>
</file>